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pStyle w:val="3"/>
        <w:rPr>
          <w:rFonts w:hint="eastAsia" w:ascii="黑体" w:hAnsi="宋体" w:eastAsia="黑体" w:cs="宋体"/>
          <w:color w:val="auto"/>
          <w:kern w:val="0"/>
          <w:sz w:val="28"/>
          <w:szCs w:val="28"/>
          <w:highlight w:val="none"/>
          <w:lang w:val="en-US" w:eastAsia="zh-CN"/>
        </w:rPr>
      </w:pPr>
    </w:p>
    <w:p>
      <w:pPr>
        <w:pStyle w:val="3"/>
        <w:rPr>
          <w:rFonts w:hint="eastAsia" w:ascii="黑体" w:hAnsi="宋体" w:eastAsia="黑体" w:cs="宋体"/>
          <w:color w:val="auto"/>
          <w:kern w:val="0"/>
          <w:sz w:val="28"/>
          <w:szCs w:val="28"/>
          <w:highlight w:val="none"/>
          <w:lang w:val="en-US" w:eastAsia="zh-CN"/>
        </w:rPr>
      </w:pPr>
    </w:p>
    <w:p>
      <w:pPr>
        <w:pStyle w:val="3"/>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rPr>
          <w:rFonts w:hint="eastAsia" w:ascii="黑体" w:hAnsi="黑体" w:eastAsia="黑体" w:cs="黑体"/>
          <w:color w:val="auto"/>
          <w:sz w:val="52"/>
          <w:szCs w:val="52"/>
          <w:highlight w:val="none"/>
        </w:rPr>
      </w:pPr>
      <w:bookmarkStart w:id="0" w:name="_GoBack"/>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23</w:t>
      </w:r>
      <w:r>
        <w:rPr>
          <w:rFonts w:hint="eastAsia" w:ascii="黑体" w:hAnsi="黑体" w:eastAsia="黑体" w:cs="黑体"/>
          <w:color w:val="auto"/>
          <w:sz w:val="52"/>
          <w:szCs w:val="52"/>
          <w:highlight w:val="none"/>
          <w:lang w:eastAsia="zh-CN"/>
        </w:rPr>
        <w:t>年度</w:t>
      </w:r>
    </w:p>
    <w:p>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val="en-US" w:eastAsia="zh-CN"/>
        </w:rPr>
        <w:t>漯河西城区现代服务业开发区机关事务服务中心</w:t>
      </w:r>
      <w:r>
        <w:rPr>
          <w:rFonts w:hint="eastAsia" w:ascii="黑体" w:hAnsi="黑体" w:eastAsia="黑体" w:cs="黑体"/>
          <w:color w:val="auto"/>
          <w:sz w:val="52"/>
          <w:szCs w:val="52"/>
          <w:highlight w:val="none"/>
          <w:lang w:eastAsia="zh-CN"/>
        </w:rPr>
        <w:t>部门</w:t>
      </w:r>
      <w:r>
        <w:rPr>
          <w:rFonts w:hint="eastAsia" w:ascii="黑体" w:hAnsi="黑体" w:eastAsia="黑体" w:cs="黑体"/>
          <w:color w:val="auto"/>
          <w:sz w:val="52"/>
          <w:szCs w:val="52"/>
          <w:highlight w:val="none"/>
        </w:rPr>
        <w:t>决算</w:t>
      </w:r>
    </w:p>
    <w:p>
      <w:pPr>
        <w:jc w:val="center"/>
        <w:rPr>
          <w:rFonts w:hint="eastAsia" w:ascii="黑体" w:hAnsi="黑体" w:eastAsia="黑体" w:cs="黑体"/>
          <w:color w:val="auto"/>
          <w:sz w:val="52"/>
          <w:szCs w:val="52"/>
          <w:highlight w:val="none"/>
        </w:rPr>
      </w:pPr>
    </w:p>
    <w:bookmarkEnd w:id="0"/>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52"/>
          <w:szCs w:val="52"/>
          <w:highlight w:val="none"/>
        </w:rPr>
      </w:pPr>
    </w:p>
    <w:p>
      <w:pPr>
        <w:jc w:val="center"/>
        <w:rPr>
          <w:rFonts w:hint="eastAsia" w:ascii="黑体" w:hAnsi="黑体" w:eastAsia="黑体" w:cs="黑体"/>
          <w:color w:val="auto"/>
          <w:sz w:val="32"/>
          <w:szCs w:val="32"/>
          <w:highlight w:val="none"/>
          <w:lang w:eastAsia="zh-CN"/>
        </w:rPr>
        <w:sectPr>
          <w:pgSz w:w="11906" w:h="16838"/>
          <w:pgMar w:top="1440" w:right="1531" w:bottom="1440" w:left="1587" w:header="850" w:footer="992" w:gutter="0"/>
          <w:pgNumType w:fmt="numberInDash"/>
          <w:cols w:space="720" w:num="1"/>
          <w:rtlGutter w:val="0"/>
          <w:docGrid w:type="lines" w:linePitch="317"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月</w:t>
      </w:r>
    </w:p>
    <w:p>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第一部分　</w:t>
      </w:r>
      <w:r>
        <w:rPr>
          <w:rFonts w:hint="eastAsia" w:ascii="黑体" w:hAnsi="黑体" w:eastAsia="黑体" w:cs="黑体"/>
          <w:color w:val="auto"/>
          <w:sz w:val="32"/>
          <w:szCs w:val="32"/>
          <w:highlight w:val="none"/>
          <w:lang w:eastAsia="zh-CN"/>
        </w:rPr>
        <w:t>漯河西城区现代服务业开发区机关事务服务中心</w:t>
      </w:r>
      <w:r>
        <w:rPr>
          <w:rFonts w:hint="eastAsia" w:ascii="黑体" w:hAnsi="黑体" w:eastAsia="黑体" w:cs="黑体"/>
          <w:color w:val="auto"/>
          <w:sz w:val="32"/>
          <w:szCs w:val="32"/>
          <w:highlight w:val="none"/>
        </w:rPr>
        <w:t>概况</w:t>
      </w:r>
    </w:p>
    <w:p>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一、</w:t>
      </w:r>
      <w:r>
        <w:rPr>
          <w:rFonts w:hint="eastAsia" w:ascii="宋体" w:hAnsi="宋体" w:cs="宋体"/>
          <w:color w:val="auto"/>
          <w:sz w:val="32"/>
          <w:szCs w:val="32"/>
          <w:highlight w:val="none"/>
          <w:lang w:val="en-US" w:eastAsia="zh-CN"/>
        </w:rPr>
        <w:t>部门</w:t>
      </w:r>
      <w:r>
        <w:rPr>
          <w:rFonts w:hint="eastAsia" w:ascii="宋体" w:hAnsi="宋体" w:eastAsia="宋体" w:cs="宋体"/>
          <w:color w:val="auto"/>
          <w:sz w:val="32"/>
          <w:szCs w:val="32"/>
          <w:highlight w:val="none"/>
          <w:lang w:eastAsia="zh-CN"/>
        </w:rPr>
        <w:t>职责</w:t>
      </w:r>
    </w:p>
    <w:p>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二、</w:t>
      </w:r>
      <w:r>
        <w:rPr>
          <w:rFonts w:hint="eastAsia" w:ascii="宋体" w:hAnsi="宋体" w:eastAsia="宋体" w:cs="宋体"/>
          <w:color w:val="auto"/>
          <w:sz w:val="32"/>
          <w:szCs w:val="32"/>
          <w:highlight w:val="none"/>
          <w:lang w:eastAsia="zh-CN"/>
        </w:rPr>
        <w:t>机构设置</w:t>
      </w:r>
    </w:p>
    <w:p>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一、收入支出决算总表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二、收入决算表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三、支出决算表</w:t>
      </w:r>
    </w:p>
    <w:p>
      <w:pPr>
        <w:ind w:firstLine="640" w:firstLineChars="200"/>
        <w:jc w:val="both"/>
        <w:rPr>
          <w:rFonts w:ascii="宋体" w:hAnsi="宋体" w:cs="黑体"/>
          <w:sz w:val="32"/>
          <w:szCs w:val="32"/>
          <w:highlight w:val="none"/>
        </w:rPr>
      </w:pPr>
      <w:r>
        <w:rPr>
          <w:rFonts w:hint="eastAsia" w:ascii="宋体" w:hAnsi="宋体" w:cs="黑体"/>
          <w:sz w:val="32"/>
          <w:szCs w:val="32"/>
          <w:highlight w:val="none"/>
        </w:rPr>
        <w:t>四、财政拨款收入支出决算总表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五、一般公共预算财政拨款支出决算表</w:t>
      </w:r>
    </w:p>
    <w:p>
      <w:pPr>
        <w:ind w:firstLine="640" w:firstLineChars="200"/>
        <w:jc w:val="both"/>
        <w:rPr>
          <w:rFonts w:ascii="宋体" w:hAnsi="宋体" w:cs="黑体"/>
          <w:sz w:val="32"/>
          <w:szCs w:val="32"/>
          <w:highlight w:val="none"/>
        </w:rPr>
      </w:pPr>
      <w:r>
        <w:rPr>
          <w:rFonts w:hint="eastAsia" w:ascii="宋体" w:hAnsi="宋体" w:cs="黑体"/>
          <w:sz w:val="32"/>
          <w:szCs w:val="32"/>
          <w:highlight w:val="none"/>
        </w:rPr>
        <w:t>六、一般公共预算财政拨款基本支出决算明细表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七、政府性基金预算财政拨款收入支出决算表</w:t>
      </w:r>
    </w:p>
    <w:p>
      <w:pPr>
        <w:ind w:firstLine="640" w:firstLineChars="200"/>
        <w:jc w:val="both"/>
        <w:rPr>
          <w:rFonts w:ascii="宋体" w:hAnsi="宋体" w:cs="黑体"/>
          <w:sz w:val="32"/>
          <w:szCs w:val="32"/>
          <w:highlight w:val="none"/>
        </w:rPr>
      </w:pPr>
      <w:r>
        <w:rPr>
          <w:rFonts w:hint="eastAsia" w:ascii="宋体" w:hAnsi="宋体" w:cs="黑体"/>
          <w:sz w:val="32"/>
          <w:szCs w:val="32"/>
          <w:highlight w:val="none"/>
        </w:rPr>
        <w:t>八、国有</w:t>
      </w:r>
      <w:r>
        <w:rPr>
          <w:rFonts w:ascii="宋体" w:hAnsi="宋体" w:cs="黑体"/>
          <w:sz w:val="32"/>
          <w:szCs w:val="32"/>
          <w:highlight w:val="none"/>
        </w:rPr>
        <w:t>资本经营预算财政拨款</w:t>
      </w:r>
      <w:r>
        <w:rPr>
          <w:rFonts w:hint="eastAsia" w:ascii="宋体" w:hAnsi="宋体" w:cs="黑体"/>
          <w:sz w:val="32"/>
          <w:szCs w:val="32"/>
          <w:highlight w:val="none"/>
        </w:rPr>
        <w:t>支出决算表</w:t>
      </w:r>
    </w:p>
    <w:p>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九、财政拨款“三公”经费支出决算表</w:t>
      </w:r>
    </w:p>
    <w:p>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一、收入支出决算总体情况说明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二、收入决算情况说明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三、支出决算情况说明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四、财政拨款收入支出决算总体情况说明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五、一般公共预算财政拨款支出决算情况说明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六、一般公共预算财政拨款基本支出决算情况说明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七、政府性基金预算财政拨款支出决算情况说明</w:t>
      </w:r>
    </w:p>
    <w:p>
      <w:pPr>
        <w:ind w:firstLine="640" w:firstLineChars="200"/>
        <w:jc w:val="both"/>
        <w:rPr>
          <w:rFonts w:ascii="宋体" w:hAnsi="宋体" w:cs="宋体"/>
          <w:sz w:val="32"/>
          <w:szCs w:val="32"/>
          <w:highlight w:val="none"/>
        </w:rPr>
      </w:pPr>
      <w:r>
        <w:rPr>
          <w:rFonts w:hint="eastAsia" w:ascii="宋体" w:hAnsi="宋体" w:cs="宋体"/>
          <w:sz w:val="32"/>
          <w:szCs w:val="32"/>
          <w:highlight w:val="none"/>
        </w:rPr>
        <w:t>八、国有资本</w:t>
      </w:r>
      <w:r>
        <w:rPr>
          <w:rFonts w:ascii="宋体" w:hAnsi="宋体" w:cs="宋体"/>
          <w:sz w:val="32"/>
          <w:szCs w:val="32"/>
          <w:highlight w:val="none"/>
        </w:rPr>
        <w:t>经营</w:t>
      </w:r>
      <w:r>
        <w:rPr>
          <w:rFonts w:hint="eastAsia" w:ascii="宋体" w:hAnsi="宋体" w:cs="宋体"/>
          <w:sz w:val="32"/>
          <w:szCs w:val="32"/>
          <w:highlight w:val="none"/>
        </w:rPr>
        <w:t>预算财政拨款支出决算情况说明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九、财政拨款“三公”经费支出决算情况说明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十、机关运行经费支出情况说明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十一、政府采购支出情况说明</w:t>
      </w:r>
    </w:p>
    <w:p>
      <w:pPr>
        <w:ind w:firstLine="640" w:firstLineChars="200"/>
        <w:jc w:val="both"/>
        <w:rPr>
          <w:rFonts w:ascii="宋体" w:hAnsi="宋体" w:cs="宋体"/>
          <w:sz w:val="32"/>
          <w:szCs w:val="32"/>
          <w:highlight w:val="none"/>
        </w:rPr>
      </w:pPr>
      <w:r>
        <w:rPr>
          <w:rFonts w:hint="eastAsia" w:ascii="宋体" w:hAnsi="宋体" w:cs="宋体"/>
          <w:sz w:val="32"/>
          <w:szCs w:val="32"/>
          <w:highlight w:val="none"/>
        </w:rPr>
        <w:t>十二、国有资产占用情况说明</w:t>
      </w:r>
    </w:p>
    <w:p>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十三、预算绩效情况说明</w:t>
      </w:r>
    </w:p>
    <w:p>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pPr>
        <w:ind w:firstLine="640" w:firstLineChars="200"/>
        <w:jc w:val="left"/>
        <w:rPr>
          <w:rFonts w:ascii="宋体" w:hAnsi="宋体" w:eastAsia="宋体" w:cs="宋体"/>
          <w:color w:val="auto"/>
          <w:sz w:val="32"/>
          <w:szCs w:val="32"/>
          <w:highlight w:val="none"/>
        </w:rPr>
      </w:pPr>
    </w:p>
    <w:p>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803" w:bottom="1440" w:left="1803" w:header="850" w:footer="992" w:gutter="0"/>
          <w:pgNumType w:fmt="numberInDash" w:start="1"/>
          <w:cols w:space="720" w:num="1"/>
          <w:rtlGutter w:val="0"/>
          <w:docGrid w:type="lines" w:linePitch="317" w:charSpace="0"/>
        </w:sectPr>
      </w:pPr>
    </w:p>
    <w:p>
      <w:pPr>
        <w:widowControl/>
        <w:jc w:val="center"/>
        <w:outlineLvl w:val="0"/>
        <w:rPr>
          <w:rFonts w:hint="eastAsia" w:ascii="黑体" w:hAnsi="宋体" w:eastAsia="黑体" w:cs="宋体"/>
          <w:kern w:val="0"/>
          <w:sz w:val="28"/>
          <w:szCs w:val="28"/>
          <w:highlight w:val="none"/>
        </w:rPr>
      </w:pPr>
      <w:r>
        <w:rPr>
          <w:rFonts w:hint="eastAsia" w:ascii="黑体" w:hAnsi="黑体" w:eastAsia="黑体" w:cs="黑体"/>
          <w:sz w:val="48"/>
          <w:szCs w:val="48"/>
          <w:highlight w:val="none"/>
        </w:rPr>
        <w:t xml:space="preserve">第一部分 </w:t>
      </w:r>
      <w:r>
        <w:rPr>
          <w:rFonts w:hint="eastAsia" w:ascii="黑体" w:hAnsi="黑体" w:eastAsia="黑体" w:cs="黑体"/>
          <w:sz w:val="48"/>
          <w:szCs w:val="48"/>
          <w:highlight w:val="none"/>
          <w:lang w:val="en-US" w:eastAsia="zh-CN"/>
        </w:rPr>
        <w:t>漯河西城区现代服务业开发区机关事务服务中心</w:t>
      </w:r>
      <w:r>
        <w:rPr>
          <w:rFonts w:hint="eastAsia" w:ascii="黑体" w:hAnsi="黑体" w:eastAsia="黑体" w:cs="黑体"/>
          <w:sz w:val="48"/>
          <w:szCs w:val="48"/>
          <w:highlight w:val="none"/>
        </w:rPr>
        <w:t>概况</w:t>
      </w:r>
    </w:p>
    <w:p>
      <w:pPr>
        <w:widowControl/>
        <w:ind w:firstLine="640" w:firstLineChars="200"/>
        <w:jc w:val="left"/>
        <w:outlineLvl w:val="1"/>
        <w:rPr>
          <w:rFonts w:ascii="黑体" w:hAnsi="黑体" w:eastAsia="黑体" w:cs="黑体"/>
          <w:kern w:val="0"/>
          <w:sz w:val="32"/>
          <w:szCs w:val="32"/>
          <w:highlight w:val="none"/>
        </w:rPr>
      </w:pPr>
    </w:p>
    <w:p>
      <w:pPr>
        <w:widowControl/>
        <w:numPr>
          <w:ilvl w:val="0"/>
          <w:numId w:val="0"/>
        </w:numPr>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highlight w:val="none"/>
        </w:rPr>
        <w:t>职责</w:t>
      </w:r>
    </w:p>
    <w:p>
      <w:pPr>
        <w:spacing w:line="600" w:lineRule="exact"/>
        <w:ind w:firstLine="640" w:firstLineChars="200"/>
        <w:jc w:val="left"/>
        <w:rPr>
          <w:rFonts w:hint="eastAsia" w:ascii="宋体" w:hAnsi="宋体" w:eastAsia="宋体" w:cs="宋体"/>
          <w:kern w:val="0"/>
          <w:sz w:val="32"/>
          <w:szCs w:val="32"/>
          <w:highlight w:val="none"/>
          <w:lang w:eastAsia="zh-CN"/>
        </w:rPr>
      </w:pPr>
      <w:r>
        <w:rPr>
          <w:rFonts w:hint="eastAsia" w:ascii="Times New Roman" w:hAnsi="Times New Roman" w:eastAsia="仿宋_GB2312" w:cs="Times New Roman"/>
          <w:kern w:val="0"/>
          <w:sz w:val="32"/>
          <w:szCs w:val="32"/>
        </w:rPr>
        <w:t>区机关事务服务中心主要职责是：负责制定全区机关事务管理工作制度并组织实施；负责全区机关事务服务保障、办公用房使用工作；承担全区事业单位国有资产的配置处置、权属界定、清查登记、调配管理等日常管理工作；负责全区事业单位办公用房的调配、维修、管理工作；负责全区公务用车管理工作；负责公务接待工作；负责全区办公区的水、电、通讯、环境卫生、消防安全、绿化美化、餐饮服务等后勤管理工作；负责安全保卫及节能减排工作。</w:t>
      </w:r>
    </w:p>
    <w:p>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pPr>
        <w:spacing w:line="600" w:lineRule="exact"/>
        <w:ind w:firstLine="630"/>
        <w:rPr>
          <w:rFonts w:hint="eastAsia" w:ascii="Times New Roman" w:hAnsi="Times New Roman" w:eastAsia="仿宋_GB2312" w:cs="Times New Roman"/>
          <w:kern w:val="0"/>
          <w:sz w:val="32"/>
          <w:szCs w:val="32"/>
        </w:rPr>
      </w:pPr>
      <w:r>
        <w:rPr>
          <w:rFonts w:hint="eastAsia" w:ascii="Times New Roman" w:hAnsi="Times New Roman" w:eastAsia="仿宋_GB2312" w:cs="Times New Roman"/>
          <w:sz w:val="32"/>
          <w:szCs w:val="32"/>
        </w:rPr>
        <w:t>区机关事务服务中心属一级预算单位，无二级机构。</w:t>
      </w: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决算表</w:t>
      </w: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16"/>
        <w:gridCol w:w="616"/>
        <w:gridCol w:w="1971"/>
        <w:gridCol w:w="3973"/>
        <w:gridCol w:w="617"/>
        <w:gridCol w:w="1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55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收入支出决算总表</w:t>
            </w:r>
          </w:p>
        </w:tc>
        <w:tc>
          <w:tcPr>
            <w:tcW w:w="144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5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54"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22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144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55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收入</w:t>
            </w:r>
          </w:p>
        </w:tc>
        <w:tc>
          <w:tcPr>
            <w:tcW w:w="2445"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行次</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行次</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一、一般公共预算财政拨款收入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一、一般公共服务支出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二、政府性基金预算财政拨款收入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二、外交支出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33</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三、国有资本经营预算财政拨款收入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三、国防支出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34</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四、上级补助收入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四、公共安全支出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35</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五、事业收入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五、教育支出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36</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六、经营收入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六、科学技术支出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37</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七、附属单位上缴收入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七、文化旅游体育与传媒支出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38</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八、其他收入</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八、社会保障和就业支出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九、卫生健康支出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十、节能环保支出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十一、城乡社区支出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十二、农林水支出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十三、交通运输支出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44</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十四、资源勘探工业信息等支出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十五、商业服务业等支出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46</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十六、金融支出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47</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十七、援助其他地区支出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48</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十八、自然资源海洋气象等支出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49</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十九、住房保障支出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二十、粮油物资储备支出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二十一、国有资本经营预算支出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二十二、灾害防治及应急管理支出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二十三、其他支出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54</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二十四、债务还本支出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55</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二十五、债务付息支出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56</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二十六、抗疫特别国债安排的支出</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57</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本年收入合计</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本年支出合计</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58</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使用非财政拨款结余(含专用结余)</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28</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结余分配</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59</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年初结转和结余</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年末结转和结余</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60</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5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总计</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44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总计</w:t>
            </w:r>
          </w:p>
        </w:tc>
        <w:tc>
          <w:tcPr>
            <w:tcW w:w="22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62</w:t>
            </w:r>
          </w:p>
        </w:tc>
        <w:tc>
          <w:tcPr>
            <w:tcW w:w="77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6"/>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6"/>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2.本套报表金额单位转换时可能存在尾数误差。</w:t>
            </w:r>
          </w:p>
        </w:tc>
      </w:tr>
    </w:tbl>
    <w:p>
      <w:pPr>
        <w:rPr>
          <w:rFonts w:hint="eastAsia" w:ascii="仿宋_GB2312" w:hAnsi="仿宋_GB2312" w:eastAsia="仿宋_GB2312" w:cs="仿宋_GB2312"/>
          <w:color w:val="auto"/>
          <w:sz w:val="32"/>
          <w:szCs w:val="32"/>
          <w:highlight w:val="none"/>
        </w:rPr>
      </w:pPr>
    </w:p>
    <w:p>
      <w:pPr>
        <w:pStyle w:val="2"/>
        <w:rPr>
          <w:rFonts w:hint="eastAsia"/>
        </w:rPr>
        <w:sectPr>
          <w:pgSz w:w="16838" w:h="11906" w:orient="landscape"/>
          <w:pgMar w:top="1800" w:right="1440" w:bottom="1800" w:left="1440" w:header="720" w:footer="720" w:gutter="0"/>
          <w:pgNumType w:fmt="numberInDash"/>
          <w:cols w:space="720" w:num="1"/>
          <w:docGrid w:type="lines" w:linePitch="312" w:charSpace="0"/>
        </w:sect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29"/>
        <w:gridCol w:w="222"/>
        <w:gridCol w:w="222"/>
        <w:gridCol w:w="3163"/>
        <w:gridCol w:w="756"/>
        <w:gridCol w:w="1051"/>
        <w:gridCol w:w="560"/>
        <w:gridCol w:w="560"/>
        <w:gridCol w:w="560"/>
        <w:gridCol w:w="560"/>
        <w:gridCol w:w="15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7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138" w:type="pct"/>
            <w:gridSpan w:val="6"/>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收入决算表</w:t>
            </w: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0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6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18"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7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0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6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18"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977"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264"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本年收入合计</w:t>
            </w:r>
          </w:p>
        </w:tc>
        <w:tc>
          <w:tcPr>
            <w:tcW w:w="418"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财政拨款收入</w:t>
            </w:r>
          </w:p>
        </w:tc>
        <w:tc>
          <w:tcPr>
            <w:tcW w:w="19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上级补助收入</w:t>
            </w:r>
          </w:p>
        </w:tc>
        <w:tc>
          <w:tcPr>
            <w:tcW w:w="19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事业收入</w:t>
            </w:r>
          </w:p>
        </w:tc>
        <w:tc>
          <w:tcPr>
            <w:tcW w:w="19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经营收入</w:t>
            </w:r>
          </w:p>
        </w:tc>
        <w:tc>
          <w:tcPr>
            <w:tcW w:w="19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附属单位上缴收入</w:t>
            </w:r>
          </w:p>
        </w:tc>
        <w:tc>
          <w:tcPr>
            <w:tcW w:w="555"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1102" w:type="pct"/>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26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1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02"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6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1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02"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6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1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977"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264"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418"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96"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96"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96"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196"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555"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977"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一般公共服务支出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20103</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2010350</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事业运行</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20136</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其他共产党事务支出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2013699</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其他共产党事务支出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社会保障和就业支出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20899</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其他社会保障和就业支出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2089999</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其他社会保障和就业支出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商业服务业等支出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21699</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其他商业服务业等支出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2169999</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其他商业服务业等支出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住房保障支出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住房改革支出</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74"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2210201</w:t>
            </w:r>
          </w:p>
        </w:tc>
        <w:tc>
          <w:tcPr>
            <w:tcW w:w="110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住房公积金</w:t>
            </w:r>
          </w:p>
        </w:tc>
        <w:tc>
          <w:tcPr>
            <w:tcW w:w="26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4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5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11"/>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注：本表反映部门本年度取得的各项收入情况。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7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0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6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5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bl>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16"/>
        <w:gridCol w:w="222"/>
        <w:gridCol w:w="222"/>
        <w:gridCol w:w="3216"/>
        <w:gridCol w:w="1318"/>
        <w:gridCol w:w="666"/>
        <w:gridCol w:w="766"/>
        <w:gridCol w:w="566"/>
        <w:gridCol w:w="566"/>
        <w:gridCol w:w="1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5000" w:type="pct"/>
            <w:gridSpan w:val="10"/>
            <w:tcBorders>
              <w:top w:val="nil"/>
              <w:left w:val="nil"/>
              <w:bottom w:val="nil"/>
              <w:right w:val="nil"/>
            </w:tcBorders>
            <w:shd w:val="clear" w:color="auto" w:fill="auto"/>
            <w:noWrap/>
            <w:vAlign w:val="center"/>
          </w:tcPr>
          <w:p>
            <w:pPr>
              <w:keepNext w:val="0"/>
              <w:keepLines w:val="0"/>
              <w:widowControl/>
              <w:suppressLineNumbers w:val="0"/>
              <w:shd w:val="clear" w:color="auto" w:fill="auto"/>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6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3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5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35"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0"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6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34"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22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5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35"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67"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734"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本年支出合计</w:t>
            </w:r>
          </w:p>
        </w:tc>
        <w:tc>
          <w:tcPr>
            <w:tcW w:w="223"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基本支出</w:t>
            </w:r>
          </w:p>
        </w:tc>
        <w:tc>
          <w:tcPr>
            <w:tcW w:w="25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项目支出</w:t>
            </w:r>
          </w:p>
        </w:tc>
        <w:tc>
          <w:tcPr>
            <w:tcW w:w="190"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上缴上级支出</w:t>
            </w:r>
          </w:p>
        </w:tc>
        <w:tc>
          <w:tcPr>
            <w:tcW w:w="190"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经营支出</w:t>
            </w:r>
          </w:p>
        </w:tc>
        <w:tc>
          <w:tcPr>
            <w:tcW w:w="535"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07" w:type="pct"/>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1060" w:type="pct"/>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73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5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3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07" w:type="pct"/>
            <w:gridSpan w:val="3"/>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60"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3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5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3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07" w:type="pct"/>
            <w:gridSpan w:val="3"/>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60"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3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2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5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90"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3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67"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734"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223"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256"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90"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90"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535" w:type="pc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67"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70.99</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452.61</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一般公共服务支出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191.58</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20103</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141.58</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2010350</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事业运行</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141.58</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20136</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其他共产党事务支出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2013699</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其他共产党事务支出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社会保障和就业支出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20899</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其他社会保障和就业支出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2089999</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其他社会保障和就业支出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商业服务业等支出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21699</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其他商业服务业等支出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2169999</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其他商业服务业等支出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住房保障支出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住房改革支出</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7"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2210201</w:t>
            </w:r>
          </w:p>
        </w:tc>
        <w:tc>
          <w:tcPr>
            <w:tcW w:w="106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住房公积金</w:t>
            </w:r>
          </w:p>
        </w:tc>
        <w:tc>
          <w:tcPr>
            <w:tcW w:w="73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2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5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9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3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50"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tc>
        <w:tc>
          <w:tcPr>
            <w:tcW w:w="78" w:type="pct"/>
            <w:tcBorders>
              <w:top w:val="nil"/>
              <w:left w:val="nil"/>
              <w:bottom w:val="nil"/>
              <w:right w:val="nil"/>
            </w:tcBorders>
            <w:shd w:val="clear" w:color="auto" w:fill="auto"/>
            <w:noWrap/>
            <w:vAlign w:val="center"/>
          </w:tcPr>
          <w:p/>
        </w:tc>
        <w:tc>
          <w:tcPr>
            <w:tcW w:w="1060" w:type="pct"/>
            <w:tcBorders>
              <w:top w:val="nil"/>
              <w:left w:val="nil"/>
              <w:bottom w:val="nil"/>
              <w:right w:val="nil"/>
            </w:tcBorders>
            <w:shd w:val="clear" w:color="auto" w:fill="auto"/>
            <w:noWrap/>
            <w:vAlign w:val="center"/>
          </w:tcPr>
          <w:p/>
        </w:tc>
        <w:tc>
          <w:tcPr>
            <w:tcW w:w="734" w:type="pct"/>
            <w:tcBorders>
              <w:top w:val="nil"/>
              <w:left w:val="nil"/>
              <w:bottom w:val="nil"/>
              <w:right w:val="nil"/>
            </w:tcBorders>
            <w:shd w:val="clear" w:color="auto" w:fill="auto"/>
            <w:noWrap/>
            <w:vAlign w:val="center"/>
          </w:tcPr>
          <w:p>
            <w:pPr>
              <w:keepNext w:val="0"/>
              <w:keepLines w:val="0"/>
              <w:widowControl/>
              <w:suppressLineNumbers w:val="0"/>
              <w:jc w:val="center"/>
              <w:textAlignment w:val="center"/>
            </w:pPr>
          </w:p>
        </w:tc>
        <w:tc>
          <w:tcPr>
            <w:tcW w:w="223" w:type="pct"/>
            <w:tcBorders>
              <w:top w:val="nil"/>
              <w:left w:val="nil"/>
              <w:bottom w:val="nil"/>
              <w:right w:val="nil"/>
            </w:tcBorders>
            <w:shd w:val="clear" w:color="auto" w:fill="auto"/>
            <w:noWrap/>
            <w:vAlign w:val="center"/>
          </w:tcPr>
          <w:p/>
        </w:tc>
        <w:tc>
          <w:tcPr>
            <w:tcW w:w="256" w:type="pct"/>
            <w:tcBorders>
              <w:top w:val="nil"/>
              <w:left w:val="nil"/>
              <w:bottom w:val="nil"/>
              <w:right w:val="nil"/>
            </w:tcBorders>
            <w:shd w:val="clear" w:color="auto" w:fill="auto"/>
            <w:noWrap/>
            <w:vAlign w:val="center"/>
          </w:tcPr>
          <w:p/>
        </w:tc>
        <w:tc>
          <w:tcPr>
            <w:tcW w:w="190" w:type="pct"/>
            <w:tcBorders>
              <w:top w:val="nil"/>
              <w:left w:val="nil"/>
              <w:bottom w:val="nil"/>
              <w:right w:val="nil"/>
            </w:tcBorders>
            <w:shd w:val="clear" w:color="auto" w:fill="auto"/>
            <w:noWrap/>
            <w:vAlign w:val="center"/>
          </w:tcPr>
          <w:p/>
        </w:tc>
        <w:tc>
          <w:tcPr>
            <w:tcW w:w="190" w:type="pct"/>
            <w:tcBorders>
              <w:top w:val="nil"/>
              <w:left w:val="nil"/>
              <w:bottom w:val="nil"/>
              <w:right w:val="nil"/>
            </w:tcBorders>
            <w:shd w:val="clear" w:color="auto" w:fill="auto"/>
            <w:noWrap/>
            <w:vAlign w:val="center"/>
          </w:tcPr>
          <w:p/>
        </w:tc>
        <w:tc>
          <w:tcPr>
            <w:tcW w:w="535" w:type="pct"/>
            <w:tcBorders>
              <w:top w:val="nil"/>
              <w:left w:val="nil"/>
              <w:bottom w:val="nil"/>
              <w:right w:val="nil"/>
            </w:tcBorders>
            <w:shd w:val="clear" w:color="auto" w:fill="auto"/>
            <w:noWrap/>
            <w:vAlign w:val="center"/>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0"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78"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1060"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734"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223"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256"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190"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190" w:type="pct"/>
            <w:tcBorders>
              <w:top w:val="nil"/>
              <w:left w:val="nil"/>
              <w:bottom w:val="nil"/>
              <w:right w:val="nil"/>
            </w:tcBorders>
            <w:shd w:val="clear" w:color="auto" w:fill="auto"/>
            <w:noWrap/>
            <w:vAlign w:val="center"/>
          </w:tcPr>
          <w:p>
            <w:pPr>
              <w:rPr>
                <w:rFonts w:hint="eastAsia" w:ascii="宋体" w:hAnsi="宋体" w:eastAsia="宋体" w:cs="宋体"/>
                <w:i w:val="0"/>
                <w:color w:val="000000"/>
                <w:kern w:val="0"/>
                <w:sz w:val="20"/>
                <w:szCs w:val="20"/>
                <w:u w:val="none"/>
                <w:lang w:val="en-US" w:eastAsia="zh-CN" w:bidi="ar"/>
              </w:rPr>
            </w:pPr>
          </w:p>
        </w:tc>
        <w:tc>
          <w:tcPr>
            <w:tcW w:w="535" w:type="pct"/>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color w:val="000000"/>
                <w:kern w:val="0"/>
                <w:sz w:val="20"/>
                <w:szCs w:val="20"/>
                <w:u w:val="none"/>
                <w:lang w:val="en-US" w:eastAsia="zh-CN" w:bidi="ar"/>
              </w:rPr>
            </w:pPr>
          </w:p>
        </w:tc>
      </w:tr>
    </w:tbl>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08"/>
        <w:gridCol w:w="416"/>
        <w:gridCol w:w="765"/>
        <w:gridCol w:w="3211"/>
        <w:gridCol w:w="1065"/>
        <w:gridCol w:w="765"/>
        <w:gridCol w:w="765"/>
        <w:gridCol w:w="565"/>
        <w:gridCol w:w="16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57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5" w:type="pct"/>
            <w:gridSpan w:val="5"/>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财政拨款收入支出决算总表</w:t>
            </w: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7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26"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76"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13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26"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6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收     入</w:t>
            </w:r>
          </w:p>
        </w:tc>
        <w:tc>
          <w:tcPr>
            <w:tcW w:w="3036" w:type="pct"/>
            <w:gridSpan w:val="6"/>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57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138"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行次</w:t>
            </w:r>
          </w:p>
        </w:tc>
        <w:tc>
          <w:tcPr>
            <w:tcW w:w="247"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w:t>
            </w:r>
          </w:p>
        </w:tc>
        <w:tc>
          <w:tcPr>
            <w:tcW w:w="1014"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826"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行次</w:t>
            </w:r>
          </w:p>
        </w:tc>
        <w:tc>
          <w:tcPr>
            <w:tcW w:w="247" w:type="pct"/>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247"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一般公共预算财政拨款</w:t>
            </w:r>
          </w:p>
        </w:tc>
        <w:tc>
          <w:tcPr>
            <w:tcW w:w="185"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政府性基金预算财政拨款</w:t>
            </w:r>
          </w:p>
        </w:tc>
        <w:tc>
          <w:tcPr>
            <w:tcW w:w="514"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7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26"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一、一般公共预算财政拨款</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一、一般公共服务支出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二、政府性基金预算财政拨款</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二、外交支出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三、国有资本经营预算财政拨款</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三、国防支出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四、公共安全支出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36</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五、教育支出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37</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六、科学技术支出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38</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七、文化旅游体育与传媒支出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八、社会保障和就业支出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九、卫生健康支出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十、节能环保支出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十一、城乡社区支出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十二、农林水支出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十三、交通运输支出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十四、资源勘探工业信息等支出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46</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十五、商业服务业等支出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47</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16</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十六、金融支出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48</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17</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十七、援助其他地区支出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49</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18</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十八、自然资源海洋气象等支出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十九、住房保障支出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二十、粮油物资储备支出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二十一、国有资本经营预算支出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二十二、灾害防治及应急管理支出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二十三、其他支出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二十四、债务还本支出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56</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25</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二十五、债务付息支出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57</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二十六、抗疫特别国债安排的支出</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58</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本年收入合计</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27</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本年支出合计</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59</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年初财政拨款结转和结余</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28</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年末财政拨款结转和结余</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一般公共预算财政拨款</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政府性基金预算财政拨款</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国有资本经营预算财政拨款</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63</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57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总计</w:t>
            </w:r>
          </w:p>
        </w:tc>
        <w:tc>
          <w:tcPr>
            <w:tcW w:w="13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32</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0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总计</w:t>
            </w:r>
          </w:p>
        </w:tc>
        <w:tc>
          <w:tcPr>
            <w:tcW w:w="826"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64</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247"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185"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514"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485" w:type="pct"/>
            <w:gridSpan w:val="8"/>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tc>
        <w:tc>
          <w:tcPr>
            <w:tcW w:w="514"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bl>
    <w:p>
      <w:pPr>
        <w:pStyle w:val="3"/>
        <w:rPr>
          <w:rFonts w:hint="eastAsia" w:eastAsia="宋体"/>
          <w:highlight w:val="none"/>
          <w:lang w:val="en-US" w:eastAsia="zh-CN"/>
        </w:rPr>
      </w:pPr>
    </w:p>
    <w:tbl>
      <w:tblPr>
        <w:tblStyle w:val="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16"/>
        <w:gridCol w:w="222"/>
        <w:gridCol w:w="222"/>
        <w:gridCol w:w="3216"/>
        <w:gridCol w:w="1805"/>
        <w:gridCol w:w="1841"/>
        <w:gridCol w:w="1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4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23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一般公共预算财政拨款支出决算表</w:t>
            </w: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230"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18"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11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1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230"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73"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2126" w:type="pct"/>
            <w:gridSpan w:val="3"/>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1230" w:type="pct"/>
            <w:vMerge w:val="restar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708"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小计</w:t>
            </w:r>
          </w:p>
        </w:tc>
        <w:tc>
          <w:tcPr>
            <w:tcW w:w="708"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基本支出</w:t>
            </w:r>
          </w:p>
        </w:tc>
        <w:tc>
          <w:tcPr>
            <w:tcW w:w="708"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643" w:type="pct"/>
            <w:gridSpan w:val="3"/>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230"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230" w:type="pct"/>
            <w:vMerge w:val="continue"/>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0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73"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73" w:type="pct"/>
            <w:gridSpan w:val="4"/>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523.60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70.99</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452.61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一般公共服务支出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245.45</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20103</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政府办公厅（室）及相关机构事务</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2010350</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事业运行</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195.45</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141.58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20136</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其他共产党事务支出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2013699</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其他共产党事务支出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社会保障和就业支出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20899</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其他社会保障和就业支出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2089999</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其他社会保障和就业支出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10.32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商业服务业等支出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21699</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其他商业服务业等支出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2169999</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其他商业服务业等支出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261.02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住房保障支出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住房改革支出</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43"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2210201</w:t>
            </w:r>
          </w:p>
        </w:tc>
        <w:tc>
          <w:tcPr>
            <w:tcW w:w="1230"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住房公积金</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70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注：本表反映部门本年度一般公共预算财政拨款支出情况。</w:t>
            </w:r>
          </w:p>
        </w:tc>
      </w:tr>
    </w:tbl>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bl>
      <w:tblPr>
        <w:tblStyle w:val="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71"/>
        <w:gridCol w:w="2188"/>
        <w:gridCol w:w="512"/>
        <w:gridCol w:w="545"/>
        <w:gridCol w:w="2715"/>
        <w:gridCol w:w="446"/>
        <w:gridCol w:w="545"/>
        <w:gridCol w:w="2715"/>
        <w:gridCol w:w="11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9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62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一般公共预算财政拨款基本支出决算明细表</w:t>
            </w: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18"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9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622"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018"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79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622"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40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3" w:type="pct"/>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nil"/>
              <w:right w:val="nil"/>
            </w:tcBorders>
            <w:shd w:val="clear" w:color="auto" w:fill="auto"/>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212" w:type="pct"/>
            <w:gridSpan w:val="3"/>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人员经费</w:t>
            </w:r>
          </w:p>
        </w:tc>
        <w:tc>
          <w:tcPr>
            <w:tcW w:w="2787" w:type="pct"/>
            <w:gridSpan w:val="6"/>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791"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403"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决算数</w:t>
            </w:r>
          </w:p>
        </w:tc>
        <w:tc>
          <w:tcPr>
            <w:tcW w:w="171"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622"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403"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决算数</w:t>
            </w:r>
          </w:p>
        </w:tc>
        <w:tc>
          <w:tcPr>
            <w:tcW w:w="171"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1013"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403" w:type="pct"/>
            <w:vMerge w:val="restart"/>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91"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622"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vMerge w:val="continue"/>
            <w:tcBorders>
              <w:top w:val="nil"/>
              <w:left w:val="nil"/>
              <w:bottom w:val="single" w:color="D4D4D4" w:sz="4" w:space="0"/>
              <w:right w:val="single" w:color="D4D4D4" w:sz="4" w:space="0"/>
            </w:tcBorders>
            <w:shd w:val="clear" w:color="auto" w:fill="auto"/>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工资福利支出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70.99</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商品和服务支出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307</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债务利息及费用支出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30101</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基本工资</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53.86</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30201</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办公费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30701</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国内债务付息</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30102</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津贴补贴</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30202</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印刷费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30702</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国外债务付息</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30103</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奖金</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30203</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咨询费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资本性支出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30106</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伙食补助费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30204</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手续费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31001</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房屋建筑物购建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30107</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绩效工资</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30205</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水费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31002</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办公设备购置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30108</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机关事业单位基本养老保险缴费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7.31</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30206</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电费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31003</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专用设备购置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30109</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职业年金缴费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30207</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邮电费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31005</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基础设施建设</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30110</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职工基本医疗保险缴费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2.97</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30208</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取暖费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31006</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大型修缮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30111</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公务员医疗补助缴费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30209</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物业管理费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31007</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信息网络及软件购置更新</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30112</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其他社会保障缴费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0.05</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30211</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差旅费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31008</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物资储备</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30113</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住房公积金</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6.80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30212</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因公出国（境）费用</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31009</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土地补偿</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30114</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医疗费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30213</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维修（护）费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31010</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安置补助</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30199</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其他工资福利支出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30214</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租赁费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31011</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地上附着物和青苗补偿</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对个人和家庭的补助</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30215</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会议费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31012</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拆迁补偿</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30301</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离休费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30216</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培训费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31013</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公务用车购置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30302</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退休费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30217</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公务接待费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31019</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其他交通工具购置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30303</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退职（役）费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30218</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专用材料费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31021</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文物和陈列品购置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30304</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抚恤金</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30224</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被装购置费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31022</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无形资产购置</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30305</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生活补助</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30225</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专用燃料费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31099</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其他资本性支出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30306</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救济费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30226</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劳务费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399</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其他支出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30307</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医疗费补助</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30227</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委托业务费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39907</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国家赔偿费用支出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30308</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助学金</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30228</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工会经费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39908</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对民间非营利组织和群众性自治组织补贴</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30309</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奖励金</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30229</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福利费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39909</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经常性赠与</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30310</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个人农业生产补贴</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30231</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公务用车运行维护费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39910</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资本性赠与</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30311</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代缴社会保险费</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30239</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其他交通费用</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39999</w:t>
            </w: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30399</w:t>
            </w: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其他对个人和家庭的补助</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30240</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税金及附加费用</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18"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79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30299</w:t>
            </w:r>
          </w:p>
        </w:tc>
        <w:tc>
          <w:tcPr>
            <w:tcW w:w="622"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 xml:space="preserve">  其他商品和服务支出</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71"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1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809" w:type="pct"/>
            <w:gridSpan w:val="2"/>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人员经费合计</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70.99</w:t>
            </w:r>
          </w:p>
        </w:tc>
        <w:tc>
          <w:tcPr>
            <w:tcW w:w="2383" w:type="pct"/>
            <w:gridSpan w:val="5"/>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公用经费合计</w:t>
            </w:r>
          </w:p>
        </w:tc>
        <w:tc>
          <w:tcPr>
            <w:tcW w:w="403" w:type="pct"/>
            <w:tcBorders>
              <w:top w:val="nil"/>
              <w:left w:val="nil"/>
              <w:bottom w:val="single" w:color="D4D4D4" w:sz="4" w:space="0"/>
              <w:right w:val="single" w:color="D4D4D4" w:sz="4" w:space="0"/>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9"/>
            <w:tcBorders>
              <w:top w:val="nil"/>
              <w:left w:val="nil"/>
              <w:bottom w:val="nil"/>
              <w:right w:val="nil"/>
            </w:tcBorders>
            <w:shd w:val="clear" w:color="auto" w:fill="auto"/>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注：本表反映部门本年度一般公共预算财政拨款基本支出明细情况。</w:t>
            </w:r>
          </w:p>
        </w:tc>
      </w:tr>
    </w:tbl>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p>
      <w:pPr>
        <w:pStyle w:val="3"/>
        <w:rPr>
          <w:rFonts w:hint="eastAsia" w:eastAsia="宋体"/>
          <w:highlight w:val="none"/>
          <w:lang w:val="en-US" w:eastAsia="zh-CN"/>
        </w:rPr>
      </w:pP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016"/>
        <w:gridCol w:w="222"/>
        <w:gridCol w:w="222"/>
        <w:gridCol w:w="1016"/>
        <w:gridCol w:w="3816"/>
        <w:gridCol w:w="523"/>
        <w:gridCol w:w="578"/>
        <w:gridCol w:w="578"/>
        <w:gridCol w:w="578"/>
        <w:gridCol w:w="16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181"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政府性基金预算财政拨款收入支出决算表</w:t>
            </w: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376" w:type="pct"/>
            <w:gridSpan w:val="4"/>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43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年初结转和结余</w:t>
            </w:r>
          </w:p>
        </w:tc>
        <w:tc>
          <w:tcPr>
            <w:tcW w:w="43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本年收入</w:t>
            </w:r>
          </w:p>
        </w:tc>
        <w:tc>
          <w:tcPr>
            <w:tcW w:w="1311" w:type="pct"/>
            <w:gridSpan w:val="3"/>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本年支出</w:t>
            </w:r>
          </w:p>
        </w:tc>
        <w:tc>
          <w:tcPr>
            <w:tcW w:w="43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52" w:type="pct"/>
            <w:gridSpan w:val="3"/>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1023" w:type="pct"/>
            <w:vMerge w:val="restar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小计</w:t>
            </w:r>
          </w:p>
        </w:tc>
        <w:tc>
          <w:tcPr>
            <w:tcW w:w="43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基本支出</w:t>
            </w:r>
          </w:p>
        </w:tc>
        <w:tc>
          <w:tcPr>
            <w:tcW w:w="43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项目支出</w:t>
            </w: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52" w:type="pct"/>
            <w:gridSpan w:val="3"/>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vMerge w:val="continue"/>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52" w:type="pct"/>
            <w:gridSpan w:val="3"/>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vMerge w:val="continue"/>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376" w:type="pct"/>
            <w:gridSpan w:val="4"/>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376" w:type="pct"/>
            <w:gridSpan w:val="4"/>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52" w:type="pct"/>
            <w:gridSpan w:val="3"/>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000" w:type="pct"/>
            <w:gridSpan w:val="10"/>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81"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85"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023"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43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bl>
    <w:p>
      <w:pPr>
        <w:pStyle w:val="3"/>
        <w:rPr>
          <w:rFonts w:hint="eastAsia" w:eastAsia="宋体"/>
          <w:highlight w:val="none"/>
          <w:lang w:val="en-US" w:eastAsia="zh-CN"/>
        </w:rPr>
      </w:pPr>
    </w:p>
    <w:tbl>
      <w:tblPr>
        <w:tblW w:w="14152"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578"/>
        <w:gridCol w:w="329"/>
        <w:gridCol w:w="329"/>
        <w:gridCol w:w="3905"/>
        <w:gridCol w:w="1670"/>
        <w:gridCol w:w="1670"/>
        <w:gridCol w:w="16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78"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29"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29"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905"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国有资本经营预算财政拨款支出决算表</w:t>
            </w:r>
          </w:p>
        </w:tc>
        <w:tc>
          <w:tcPr>
            <w:tcW w:w="1670"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1"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78"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29"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29"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905"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1" w:type="dxa"/>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78" w:type="dxa"/>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329"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29"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905" w:type="dxa"/>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1670"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1" w:type="dxa"/>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41" w:type="dxa"/>
            <w:gridSpan w:val="4"/>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w:t>
            </w:r>
          </w:p>
        </w:tc>
        <w:tc>
          <w:tcPr>
            <w:tcW w:w="5011" w:type="dxa"/>
            <w:gridSpan w:val="3"/>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36" w:type="dxa"/>
            <w:gridSpan w:val="3"/>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科目代码</w:t>
            </w:r>
          </w:p>
        </w:tc>
        <w:tc>
          <w:tcPr>
            <w:tcW w:w="3905" w:type="dxa"/>
            <w:vMerge w:val="restar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科目名称</w:t>
            </w:r>
          </w:p>
        </w:tc>
        <w:tc>
          <w:tcPr>
            <w:tcW w:w="1670" w:type="dxa"/>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1670" w:type="dxa"/>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基本支出</w:t>
            </w:r>
          </w:p>
        </w:tc>
        <w:tc>
          <w:tcPr>
            <w:tcW w:w="1671" w:type="dxa"/>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36" w:type="dxa"/>
            <w:gridSpan w:val="3"/>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905" w:type="dxa"/>
            <w:vMerge w:val="continue"/>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1" w:type="dxa"/>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36" w:type="dxa"/>
            <w:gridSpan w:val="3"/>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905" w:type="dxa"/>
            <w:vMerge w:val="continue"/>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1" w:type="dxa"/>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41" w:type="dxa"/>
            <w:gridSpan w:val="4"/>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栏次</w:t>
            </w:r>
          </w:p>
        </w:tc>
        <w:tc>
          <w:tcPr>
            <w:tcW w:w="1670"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670"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671"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141" w:type="dxa"/>
            <w:gridSpan w:val="4"/>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1670"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671"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36" w:type="dxa"/>
            <w:gridSpan w:val="3"/>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905"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0"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1671" w:type="dxa"/>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152" w:type="dxa"/>
            <w:gridSpan w:val="7"/>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注：本表反映部门本年度国有资本经营预算财政拨款支出情况。</w:t>
            </w:r>
          </w:p>
        </w:tc>
      </w:tr>
    </w:tbl>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bl>
      <w:tblPr>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927"/>
        <w:gridCol w:w="805"/>
        <w:gridCol w:w="412"/>
        <w:gridCol w:w="412"/>
        <w:gridCol w:w="412"/>
        <w:gridCol w:w="3161"/>
        <w:gridCol w:w="412"/>
        <w:gridCol w:w="805"/>
        <w:gridCol w:w="412"/>
        <w:gridCol w:w="412"/>
        <w:gridCol w:w="413"/>
        <w:gridCol w:w="15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128"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财政拨款“三公”经费支出决算表</w:t>
            </w: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67"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28"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67"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128"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部门：漯河西城区现代服务业开发区机关事务服务中心</w:t>
            </w: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2023年度</w:t>
            </w: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nil"/>
              <w:right w:val="nil"/>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67" w:type="pct"/>
            <w:tcBorders>
              <w:top w:val="nil"/>
              <w:left w:val="nil"/>
              <w:bottom w:val="nil"/>
              <w:right w:val="nil"/>
            </w:tcBorders>
            <w:shd w:val="clear"/>
            <w:noWrap/>
            <w:vAlign w:val="bottom"/>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880" w:type="pct"/>
            <w:gridSpan w:val="6"/>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预算数</w:t>
            </w:r>
          </w:p>
        </w:tc>
        <w:tc>
          <w:tcPr>
            <w:tcW w:w="2119" w:type="pct"/>
            <w:gridSpan w:val="6"/>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28"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350"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因公出国（境）费</w:t>
            </w:r>
          </w:p>
        </w:tc>
        <w:tc>
          <w:tcPr>
            <w:tcW w:w="1051" w:type="pct"/>
            <w:gridSpan w:val="3"/>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公务用车购置及运行维护费</w:t>
            </w:r>
          </w:p>
        </w:tc>
        <w:tc>
          <w:tcPr>
            <w:tcW w:w="350"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公务接待费</w:t>
            </w:r>
          </w:p>
        </w:tc>
        <w:tc>
          <w:tcPr>
            <w:tcW w:w="350"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合计</w:t>
            </w:r>
          </w:p>
        </w:tc>
        <w:tc>
          <w:tcPr>
            <w:tcW w:w="350"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因公出国（境）费</w:t>
            </w:r>
          </w:p>
        </w:tc>
        <w:tc>
          <w:tcPr>
            <w:tcW w:w="1051" w:type="pct"/>
            <w:gridSpan w:val="3"/>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公务用车购置及运行维护费</w:t>
            </w:r>
          </w:p>
        </w:tc>
        <w:tc>
          <w:tcPr>
            <w:tcW w:w="367" w:type="pct"/>
            <w:vMerge w:val="restar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28"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小计</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公务用车购置费</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公务用车运行维护费</w:t>
            </w:r>
          </w:p>
        </w:tc>
        <w:tc>
          <w:tcPr>
            <w:tcW w:w="350"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小计</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公务用车购置费</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公务用车运行维护费</w:t>
            </w:r>
          </w:p>
        </w:tc>
        <w:tc>
          <w:tcPr>
            <w:tcW w:w="367" w:type="pct"/>
            <w:vMerge w:val="continue"/>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28"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7</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8</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w:t>
            </w:r>
          </w:p>
        </w:tc>
        <w:tc>
          <w:tcPr>
            <w:tcW w:w="350"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11</w:t>
            </w:r>
          </w:p>
        </w:tc>
        <w:tc>
          <w:tcPr>
            <w:tcW w:w="367" w:type="pct"/>
            <w:tcBorders>
              <w:top w:val="nil"/>
              <w:left w:val="nil"/>
              <w:bottom w:val="single" w:color="D4D4D4" w:sz="4" w:space="0"/>
              <w:right w:val="single" w:color="D4D4D4" w:sz="4" w:space="0"/>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28"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50"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c>
          <w:tcPr>
            <w:tcW w:w="367" w:type="pct"/>
            <w:tcBorders>
              <w:top w:val="nil"/>
              <w:left w:val="nil"/>
              <w:bottom w:val="single" w:color="D4D4D4" w:sz="4" w:space="0"/>
              <w:right w:val="single" w:color="D4D4D4" w:sz="4" w:space="0"/>
            </w:tcBorders>
            <w:shd w:val="clear"/>
            <w:noWrap/>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12"/>
            <w:tcBorders>
              <w:top w:val="nil"/>
              <w:left w:val="nil"/>
              <w:bottom w:val="nil"/>
              <w:right w:val="nil"/>
            </w:tcBorders>
            <w:shd w:val="clear"/>
            <w:vAlign w:val="center"/>
          </w:tcPr>
          <w:p>
            <w:pPr>
              <w:keepNext w:val="0"/>
              <w:keepLines w:val="0"/>
              <w:widowControl/>
              <w:suppressLineNumbers w:val="0"/>
              <w:shd w:val="clear" w:color="auto" w:fill="auto"/>
              <w:jc w:val="both"/>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pStyle w:val="3"/>
        <w:rPr>
          <w:rFonts w:hint="eastAsia" w:eastAsia="宋体"/>
          <w:highlight w:val="none"/>
          <w:lang w:val="en-US" w:eastAsia="zh-CN"/>
        </w:rPr>
      </w:pPr>
    </w:p>
    <w:p>
      <w:pPr>
        <w:pStyle w:val="3"/>
        <w:rPr>
          <w:rFonts w:hint="eastAsia" w:eastAsia="宋体"/>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p>
    <w:p>
      <w:pPr>
        <w:jc w:val="both"/>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三</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决算情况说明</w:t>
      </w:r>
    </w:p>
    <w:p>
      <w:pPr>
        <w:widowControl/>
        <w:jc w:val="left"/>
        <w:rPr>
          <w:rFonts w:hint="eastAsia" w:ascii="黑体" w:hAnsi="黑体" w:eastAsia="黑体" w:cs="黑体"/>
          <w:color w:val="auto"/>
          <w:sz w:val="48"/>
          <w:szCs w:val="48"/>
          <w:highlight w:val="none"/>
        </w:rPr>
      </w:pPr>
    </w:p>
    <w:p>
      <w:pPr>
        <w:bidi w:val="0"/>
        <w:rPr>
          <w:rFonts w:hint="eastAsia"/>
          <w:kern w:val="2"/>
          <w:sz w:val="21"/>
          <w:szCs w:val="22"/>
          <w:highlight w:val="none"/>
          <w:lang w:val="en-US" w:eastAsia="zh-CN" w:bidi="ar-SA"/>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bidi w:val="0"/>
        <w:rPr>
          <w:rFonts w:hint="eastAsia"/>
          <w:highlight w:val="none"/>
          <w:lang w:val="en-US" w:eastAsia="zh-CN"/>
        </w:rPr>
      </w:pPr>
    </w:p>
    <w:p>
      <w:pPr>
        <w:tabs>
          <w:tab w:val="left" w:pos="1523"/>
        </w:tabs>
        <w:bidi w:val="0"/>
        <w:jc w:val="left"/>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highlight w:val="none"/>
          <w:lang w:val="en-US" w:eastAsia="zh-CN"/>
        </w:rPr>
        <w:tab/>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一、收入支出决算总体情况说明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2023年度收、支总计均为523.60万元。我单位为2023年新成立部门，无上年度数据相比。</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二、收入决算情况说明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2023年度收入合计523.60万元，其中：财政拨款收入523.60万元，占100%。</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2023年度支出合计523.60万元，其中：基本支出70.99</w:t>
      </w:r>
    </w:p>
    <w:p>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万元，占13%；项目支出452.61万元，占87%。</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2023年度财政拨款收、支总计均为523.60万元。我单位为2023年新成立部门，无上年度数据相比。</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（一）总体情况。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2023年度一般公共预算财政拨款支出523.60万元，占本年支出合计的100%。我单位为2023年新成立部门，无上年度数据相比。</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（二）结构情况。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2023年度一般公共预算财政拨款支出523.60万元，主要用于以下方面：一般公共服务（类）支出245.45万元，占46.88%；社会保障和就业支出</w:t>
      </w: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lang w:val="en-US" w:eastAsia="zh-CN"/>
        </w:rPr>
        <w:t>10.32万元，占1.97%；商业服务业等支出261.02万元，占49.85%；住房保障支出6.80万元，占1.3%。</w:t>
      </w:r>
    </w:p>
    <w:p>
      <w:pPr>
        <w:keepNext w:val="0"/>
        <w:keepLines w:val="0"/>
        <w:pageBreakBefore w:val="0"/>
        <w:widowControl/>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（三）具体情况。</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2023年度一般公共预算财政拨款支出年初预算为394.63万元，支出决算为523.60万元，完成年初预算的132%。其中：</w:t>
      </w:r>
    </w:p>
    <w:p>
      <w:pPr>
        <w:keepNext w:val="0"/>
        <w:keepLines w:val="0"/>
        <w:pageBreakBefore w:val="0"/>
        <w:widowControl/>
        <w:kinsoku/>
        <w:wordWrap/>
        <w:overflowPunct/>
        <w:topLinePunct w:val="0"/>
        <w:autoSpaceDE/>
        <w:autoSpaceDN/>
        <w:bidi w:val="0"/>
        <w:adjustRightInd/>
        <w:snapToGrid/>
        <w:spacing w:line="590" w:lineRule="exact"/>
        <w:ind w:right="0" w:rightChars="0" w:firstLine="642"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1、一般公共服务支出(类)政府办公厅(室)及相关机构事务(款)事业运行(项)。</w:t>
      </w:r>
      <w:r>
        <w:rPr>
          <w:rFonts w:hint="eastAsia" w:ascii="仿宋_GB2312" w:hAnsi="仿宋_GB2312" w:eastAsia="仿宋_GB2312" w:cs="仿宋_GB2312"/>
          <w:color w:val="auto"/>
          <w:sz w:val="32"/>
          <w:szCs w:val="32"/>
          <w:highlight w:val="none"/>
          <w:lang w:val="en-US" w:eastAsia="zh-CN"/>
        </w:rPr>
        <w:t>年初预算为 394.63 万元,支出决算为245.45 万元,完成年初预算的62.19%。决算数与年初预算数存在差异的主要原因是我区财政紧张，资金未下达。</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2、一般公共服务支出(类)其他共产党事务支出(款)事业运行(项)。</w:t>
      </w:r>
      <w:r>
        <w:rPr>
          <w:rFonts w:hint="eastAsia" w:ascii="仿宋_GB2312" w:hAnsi="仿宋_GB2312" w:eastAsia="仿宋_GB2312" w:cs="仿宋_GB2312"/>
          <w:color w:val="auto"/>
          <w:sz w:val="32"/>
          <w:szCs w:val="32"/>
          <w:highlight w:val="none"/>
          <w:lang w:val="en-US" w:eastAsia="zh-CN"/>
        </w:rPr>
        <w:t>年初预算为0万元，支出决算为50万元。决算数与年初预算数存在差异的主要原因是后期追加区党建红创空间奥莱租金。</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3、社会保障和就业支出(类)其他社会保障和就业支出(款)其他社会保障和就业支出(项)。</w:t>
      </w:r>
      <w:r>
        <w:rPr>
          <w:rFonts w:hint="eastAsia" w:ascii="仿宋_GB2312" w:hAnsi="仿宋_GB2312" w:eastAsia="仿宋_GB2312" w:cs="仿宋_GB2312"/>
          <w:color w:val="auto"/>
          <w:sz w:val="32"/>
          <w:szCs w:val="32"/>
          <w:highlight w:val="none"/>
          <w:lang w:val="en-US" w:eastAsia="zh-CN"/>
        </w:rPr>
        <w:t>年初预算为 0万元,支出决算为 10.32万元。决算数与年初预算数存在差异的主要原因是部分支出在管委会统一支付。</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4、商业服务业等支出(类)其他商业服务业等支出(款)其他商业服务业等支出(项)。</w:t>
      </w:r>
      <w:r>
        <w:rPr>
          <w:rFonts w:hint="eastAsia" w:ascii="仿宋_GB2312" w:hAnsi="仿宋_GB2312" w:eastAsia="仿宋_GB2312" w:cs="仿宋_GB2312"/>
          <w:color w:val="auto"/>
          <w:sz w:val="32"/>
          <w:szCs w:val="32"/>
          <w:highlight w:val="none"/>
          <w:lang w:val="en-US" w:eastAsia="zh-CN"/>
        </w:rPr>
        <w:t>年初预算为 0万元,支出决算为 261.02万元。决算数与年初预算数存在差异的主要原因是部分支出在后期追加爱琴海6号楼4-6层租金。</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5、住房保障支出(类)住房改革支出(款)住房公积金(项)。年初预算为0万元,支出决算为6.80万元。</w:t>
      </w:r>
      <w:r>
        <w:rPr>
          <w:rFonts w:hint="eastAsia" w:ascii="仿宋_GB2312" w:hAnsi="仿宋_GB2312" w:eastAsia="仿宋_GB2312" w:cs="仿宋_GB2312"/>
          <w:color w:val="auto"/>
          <w:sz w:val="32"/>
          <w:szCs w:val="32"/>
          <w:highlight w:val="none"/>
          <w:lang w:val="en-US" w:eastAsia="zh-CN"/>
        </w:rPr>
        <w:t>决算数与年初预算数存在差异的主要原因是部分支出在管委会统一支付。</w:t>
      </w:r>
    </w:p>
    <w:p>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1"/>
        <w:rPr>
          <w:rFonts w:hint="eastAsia" w:ascii="黑体" w:hAnsi="黑体" w:eastAsia="黑体" w:cs="黑体"/>
          <w:color w:val="auto"/>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年度一般公共预算财政拨款基本支出70.99万元。其中：人员经费</w:t>
      </w:r>
      <w:r>
        <w:rPr>
          <w:rFonts w:hint="eastAsia" w:ascii="仿宋_GB2312" w:hAnsi="仿宋_GB2312" w:eastAsia="仿宋_GB2312" w:cs="仿宋_GB2312"/>
          <w:sz w:val="32"/>
          <w:szCs w:val="32"/>
          <w:highlight w:val="none"/>
          <w:lang w:val="en-US" w:eastAsia="zh-CN"/>
        </w:rPr>
        <w:t>61.99</w:t>
      </w:r>
      <w:r>
        <w:rPr>
          <w:rFonts w:hint="eastAsia" w:ascii="仿宋_GB2312" w:hAnsi="仿宋_GB2312" w:eastAsia="仿宋_GB2312" w:cs="仿宋_GB2312"/>
          <w:sz w:val="32"/>
          <w:szCs w:val="32"/>
          <w:highlight w:val="none"/>
        </w:rPr>
        <w:t>万元，主要包括：基本工资、津贴补贴、伙食补助费、绩效工资、机关事业单位基本养老保险缴费、职业年金缴费、其他社会保障缴费、其他工资福利支出、离休费、退休费、抚恤金、生活补助、医疗费、奖励金、住房公积金、采暖补贴、物业服务补贴、其他对个人和家庭的补助支出</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highlight w:val="none"/>
        </w:rPr>
        <w:t>公用经费</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w:t>
      </w:r>
      <w:r>
        <w:rPr>
          <w:rFonts w:hint="eastAsia" w:ascii="仿宋_GB2312" w:hAnsi="仿宋_GB2312" w:eastAsia="仿宋_GB2312" w:cs="仿宋_GB2312"/>
          <w:color w:val="auto"/>
          <w:sz w:val="32"/>
          <w:szCs w:val="32"/>
          <w:highlight w:val="none"/>
          <w:lang w:val="en-US" w:eastAsia="zh-CN"/>
        </w:rPr>
        <w:t>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sz w:val="32"/>
          <w:szCs w:val="32"/>
          <w:highlight w:val="none"/>
        </w:rPr>
        <w:t>政府性基金预算财政拨款支出决算情况说明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2023年度政府性基金预算财政拨款支出年初预算为0万元，支出决算为0万元，完成年初预算的100%。</w:t>
      </w:r>
    </w:p>
    <w:p>
      <w:pPr>
        <w:widowControl/>
        <w:spacing w:line="590" w:lineRule="exact"/>
        <w:ind w:firstLine="640" w:firstLineChars="200"/>
        <w:outlineLvl w:val="1"/>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w:t>
      </w:r>
      <w:r>
        <w:rPr>
          <w:rFonts w:ascii="黑体" w:hAnsi="黑体" w:eastAsia="黑体" w:cs="黑体"/>
          <w:sz w:val="32"/>
          <w:szCs w:val="32"/>
          <w:highlight w:val="none"/>
        </w:rPr>
        <w:t>经营</w:t>
      </w:r>
      <w:r>
        <w:rPr>
          <w:rFonts w:hint="eastAsia" w:ascii="黑体" w:hAnsi="黑体" w:eastAsia="黑体" w:cs="黑体"/>
          <w:sz w:val="32"/>
          <w:szCs w:val="32"/>
          <w:highlight w:val="none"/>
        </w:rPr>
        <w:t>预算财政拨款支出决算情况说明</w:t>
      </w:r>
    </w:p>
    <w:p>
      <w:pPr>
        <w:widowControl/>
        <w:spacing w:line="59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年度国有资本</w:t>
      </w:r>
      <w:r>
        <w:rPr>
          <w:rFonts w:ascii="仿宋_GB2312" w:hAnsi="仿宋_GB2312" w:eastAsia="仿宋_GB2312" w:cs="仿宋_GB2312"/>
          <w:sz w:val="32"/>
          <w:szCs w:val="32"/>
          <w:highlight w:val="none"/>
        </w:rPr>
        <w:t>经营</w:t>
      </w:r>
      <w:r>
        <w:rPr>
          <w:rFonts w:hint="eastAsia" w:ascii="仿宋_GB2312" w:hAnsi="仿宋_GB2312" w:eastAsia="仿宋_GB2312" w:cs="仿宋_GB2312"/>
          <w:sz w:val="32"/>
          <w:szCs w:val="32"/>
          <w:highlight w:val="none"/>
        </w:rPr>
        <w:t>预算财政拨款支出年初预算为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万元，支出决算为</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万元，完成年初预算的</w:t>
      </w:r>
      <w:r>
        <w:rPr>
          <w:rFonts w:hint="eastAsia" w:ascii="仿宋_GB2312" w:hAnsi="仿宋_GB2312" w:eastAsia="仿宋_GB2312" w:cs="仿宋_GB2312"/>
          <w:color w:val="auto"/>
          <w:sz w:val="32"/>
          <w:szCs w:val="32"/>
          <w:highlight w:val="none"/>
          <w:lang w:val="en-US" w:eastAsia="zh-CN"/>
        </w:rPr>
        <w:t>100%。</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九、财政拨款“三公”经费支出决算情况说明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（一）“三公”经费财政拨款支出决算总体情况说明。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2023年度“三公”经费财政拨款支出预算为3万元，支出决算为0万元，完成预算的0%。2023年度“三公”经费支出决算数与预算数存在差异的主要原因是我区财政紧张。</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（二）“三公”经费财政拨款支出决算具体情况说明。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决算中，因公出国（境）费支出决算0万元，完成预算的0%，占0%；公务用车购置及运行费支出决算0万元，完成预算的0%，占0%；公务接待费支出决算0万元，完成预算的0%，占0%。具体情况如下：</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1．因公出国（境）费</w:t>
      </w:r>
      <w:r>
        <w:rPr>
          <w:rFonts w:hint="eastAsia" w:ascii="仿宋_GB2312" w:hAnsi="仿宋_GB2312" w:eastAsia="仿宋_GB2312" w:cs="仿宋_GB2312"/>
          <w:color w:val="auto"/>
          <w:sz w:val="32"/>
          <w:szCs w:val="32"/>
          <w:highlight w:val="none"/>
          <w:lang w:val="en-US" w:eastAsia="zh-CN"/>
        </w:rPr>
        <w:t>预算为0万元，支出决算为0万元，完成预算的0%。决算数与预算数存在差异的主要原因是我单位无此项预算。</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2．公务用车购置及运行费</w:t>
      </w:r>
      <w:r>
        <w:rPr>
          <w:rFonts w:hint="eastAsia" w:ascii="仿宋_GB2312" w:hAnsi="仿宋_GB2312" w:eastAsia="仿宋_GB2312" w:cs="仿宋_GB2312"/>
          <w:color w:val="auto"/>
          <w:sz w:val="32"/>
          <w:szCs w:val="32"/>
          <w:highlight w:val="none"/>
          <w:lang w:val="en-US" w:eastAsia="zh-CN"/>
        </w:rPr>
        <w:t>预算为3万元，支出决算为0万元，完成预算的0%。决算数与预算数存在差异的主要原因是我区财政紧张。其中：</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公务用车购置支出</w:t>
      </w:r>
      <w:r>
        <w:rPr>
          <w:rFonts w:hint="eastAsia" w:ascii="仿宋_GB2312" w:hAnsi="仿宋_GB2312" w:eastAsia="仿宋_GB2312" w:cs="仿宋_GB2312"/>
          <w:color w:val="auto"/>
          <w:sz w:val="32"/>
          <w:szCs w:val="32"/>
          <w:highlight w:val="none"/>
          <w:lang w:val="en-US" w:eastAsia="zh-CN"/>
        </w:rPr>
        <w:t>为0万元，购置车辆0辆。</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公务用车运行维护支出</w:t>
      </w:r>
      <w:r>
        <w:rPr>
          <w:rFonts w:hint="eastAsia" w:ascii="仿宋_GB2312" w:hAnsi="仿宋_GB2312" w:eastAsia="仿宋_GB2312" w:cs="仿宋_GB2312"/>
          <w:color w:val="auto"/>
          <w:sz w:val="32"/>
          <w:szCs w:val="32"/>
          <w:highlight w:val="none"/>
          <w:lang w:val="en-US" w:eastAsia="zh-CN"/>
        </w:rPr>
        <w:t>0万元。2023年期末，部门开支财政拨款的公务用车保有量为2辆。</w:t>
      </w:r>
    </w:p>
    <w:p>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2"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lang w:val="en-US" w:eastAsia="zh-CN"/>
        </w:rPr>
        <w:t>3.公务接待费</w:t>
      </w:r>
      <w:r>
        <w:rPr>
          <w:rFonts w:hint="eastAsia" w:ascii="仿宋_GB2312" w:hAnsi="仿宋_GB2312" w:eastAsia="仿宋_GB2312" w:cs="仿宋_GB2312"/>
          <w:color w:val="auto"/>
          <w:sz w:val="32"/>
          <w:szCs w:val="32"/>
          <w:highlight w:val="none"/>
          <w:lang w:val="en-US" w:eastAsia="zh-CN"/>
        </w:rPr>
        <w:t>预算为0万元，支出决算为0万元，完成预算的0%。决算数与预算数存在差异的主要原因是我单位无此项预算。</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十、机关运行经费支出情况说明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年度机关运行经费支出</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color w:val="auto"/>
          <w:sz w:val="32"/>
          <w:szCs w:val="32"/>
          <w:highlight w:val="none"/>
          <w:lang w:val="en-US" w:eastAsia="zh-CN"/>
        </w:rPr>
        <w:t>我单位为2023年新成立部门，无上年度数据相比。</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十一、政府采购支出情况说明</w:t>
      </w:r>
    </w:p>
    <w:p>
      <w:pPr>
        <w:keepNext w:val="0"/>
        <w:keepLines w:val="0"/>
        <w:pageBreakBefore w:val="0"/>
        <w:widowControl/>
        <w:kinsoku/>
        <w:wordWrap/>
        <w:overflowPunct/>
        <w:topLinePunct w:val="0"/>
        <w:autoSpaceDE/>
        <w:autoSpaceDN/>
        <w:bidi w:val="0"/>
        <w:adjustRightInd/>
        <w:snapToGrid/>
        <w:spacing w:line="590" w:lineRule="exact"/>
        <w:ind w:right="0" w:rightChars="0" w:firstLine="960" w:firstLineChars="3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2023年度政府采购支出总额0万元。</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十二、国有资产占用情况说明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2023年期末，我部门共有车辆2辆，其中：主要领导干部用车2辆。</w:t>
      </w: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十三、预算绩效情况说明</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（一）绩效管理工作开展情况。</w:t>
      </w:r>
    </w:p>
    <w:p>
      <w:pPr>
        <w:widowControl/>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2023年，我单位认真学习贯彻文件精神，按照绩效评价指标体系及评分标准，科学设定绩效目标，不断加强绩效管理，将全面实施绩效管理理念贯穿经费支出的事前绩效目标设定、事中绩效监控和事后绩效评 价全过程，认真对照实施项目内容开展绩效评价工作。通过全面开展绩效评价工作，进一步提高了财政资金使用效益。 </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（二）项目绩效自评结果。</w:t>
      </w:r>
    </w:p>
    <w:p>
      <w:pPr>
        <w:widowControl/>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 95%以上,自评得分 9.5 分,自评等次优秀。</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2"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(三)以单位为主体开展的重点绩效评价结果。</w:t>
      </w:r>
    </w:p>
    <w:p>
      <w:pPr>
        <w:widowControl/>
        <w:jc w:val="distribut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被评价项目绩效情况总体良好,物业管理公司为办公楼</w:t>
      </w:r>
    </w:p>
    <w:p>
      <w:pPr>
        <w:widowControl/>
        <w:jc w:val="distribut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提供规范、科学、高效的物业服务保证办公环境,对设施进</w:t>
      </w:r>
    </w:p>
    <w:p>
      <w:pPr>
        <w:widowControl/>
        <w:jc w:val="distribut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行日常卫生环境服务、对物业区域内秩序维护与安全的服</w:t>
      </w:r>
    </w:p>
    <w:p>
      <w:pPr>
        <w:widowControl/>
        <w:jc w:val="distribute"/>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务,并通过持续的改进和提升,维护政府办公楼的良好秩序。</w:t>
      </w: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widowControl/>
        <w:jc w:val="left"/>
        <w:rPr>
          <w:rFonts w:hint="eastAsia" w:ascii="黑体" w:hAnsi="宋体" w:eastAsia="黑体" w:cs="宋体"/>
          <w:color w:val="auto"/>
          <w:kern w:val="0"/>
          <w:sz w:val="28"/>
          <w:szCs w:val="28"/>
          <w:highlight w:val="none"/>
          <w:lang w:val="en-US" w:eastAsia="zh-CN"/>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p>
    <w:p>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pPr>
        <w:jc w:val="center"/>
        <w:outlineLvl w:val="9"/>
        <w:rPr>
          <w:rFonts w:hint="eastAsia" w:ascii="黑体" w:hAnsi="黑体" w:eastAsia="黑体" w:cs="黑体"/>
          <w:color w:val="auto"/>
          <w:sz w:val="48"/>
          <w:szCs w:val="48"/>
          <w:highlight w:val="none"/>
        </w:rPr>
      </w:pPr>
    </w:p>
    <w:p>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br w:type="pag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、财政拨款收入：单位从同级政府财政部门取得的财政预算资金</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二、事业收入：事业单位开展专业业务活动及其辅助活动取得的收入。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三、上级补助收入：事业单位从主管部门和上级单位取得的非财政补助收入。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四、附属单位上缴收入：事业单位取得附属独立核算单位根据有关规定上缴的收入。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五、经营收入：事业单位在专业业务活动及其辅助活动之外开展非独立核算经营活动取得的收入。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六、其他收入：单位取得的除“财政拨款收入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附属单位上缴收入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经营收入”以外的各项收入。</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七、使用非财政拨款结余：指事业单位使用以前年度积累的非财政拨款结余弥补当年收支差额的金额。</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w:t>
      </w:r>
      <w:r>
        <w:rPr>
          <w:rFonts w:ascii="仿宋_GB2312" w:hAnsi="仿宋_GB2312" w:eastAsia="仿宋_GB2312" w:cs="仿宋_GB2312"/>
          <w:sz w:val="32"/>
          <w:szCs w:val="32"/>
          <w:highlight w:val="none"/>
        </w:rPr>
        <w:t>年初结转和结余：指单位以前年度尚未完成、结转到本年仍按原规定用途继续使用的资金，或项目已完成等产生的结余资金。</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九、基本支出：为保障机构正常运转、完成日常工作任务而发生的人员支出和公用支出。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十、项目支出：基本支出之外为完成特定行政任务和事业发展目标所发生的支出。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w:t>
      </w:r>
      <w:r>
        <w:rPr>
          <w:rFonts w:ascii="仿宋_GB2312" w:hAnsi="仿宋_GB2312" w:eastAsia="仿宋_GB2312" w:cs="仿宋_GB2312"/>
          <w:sz w:val="32"/>
          <w:szCs w:val="32"/>
          <w:highlight w:val="none"/>
        </w:rPr>
        <w:t>、经营支出：指事业单位在专业业务活动及其辅助活动之外开展非独立核算经营活动发生的支出。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十二、工资福利支出：单位支付给在职职工和编制外长期聘用人员的各类劳动报酬，以及为上述人员缴纳的各项社会保险费等。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十三、商品和服务支出：单位购买商品和服务的支出。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十四、对个人和家庭的补助支出：单位用于对个人和家庭的补助支出。</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w:t>
      </w:r>
      <w:r>
        <w:rPr>
          <w:rFonts w:ascii="仿宋_GB2312" w:hAnsi="仿宋_GB2312" w:eastAsia="仿宋_GB2312" w:cs="仿宋_GB2312"/>
          <w:sz w:val="32"/>
          <w:szCs w:val="32"/>
          <w:highlight w:val="none"/>
        </w:rPr>
        <w:t>结余分配：指事业单位按照会计制度规定缴纳的所得税、提取的专用结余以及转入非财政拨款结余的金额等。</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十六、年末结转和</w:t>
      </w:r>
      <w:r>
        <w:rPr>
          <w:rFonts w:ascii="仿宋_GB2312" w:hAnsi="仿宋_GB2312" w:eastAsia="仿宋_GB2312" w:cs="仿宋_GB2312"/>
          <w:sz w:val="32"/>
          <w:szCs w:val="32"/>
          <w:highlight w:val="none"/>
        </w:rPr>
        <w:t>结余</w:t>
      </w:r>
      <w:r>
        <w:rPr>
          <w:rFonts w:hint="eastAsia" w:ascii="仿宋_GB2312" w:hAnsi="仿宋_GB2312" w:eastAsia="仿宋_GB2312" w:cs="仿宋_GB2312"/>
          <w:sz w:val="32"/>
          <w:szCs w:val="32"/>
          <w:highlight w:val="none"/>
        </w:rPr>
        <w:t>：指</w:t>
      </w:r>
      <w:r>
        <w:rPr>
          <w:rFonts w:ascii="仿宋_GB2312" w:hAnsi="仿宋_GB2312" w:eastAsia="仿宋_GB2312" w:cs="仿宋_GB2312"/>
          <w:sz w:val="32"/>
          <w:szCs w:val="32"/>
          <w:highlight w:val="none"/>
        </w:rPr>
        <w:t>单位按有关规定结转到下年或以后年度</w:t>
      </w:r>
      <w:r>
        <w:rPr>
          <w:rFonts w:hint="eastAsia" w:ascii="仿宋_GB2312" w:hAnsi="仿宋_GB2312" w:eastAsia="仿宋_GB2312" w:cs="仿宋_GB2312"/>
          <w:sz w:val="32"/>
          <w:szCs w:val="32"/>
          <w:highlight w:val="none"/>
        </w:rPr>
        <w:t>继续</w:t>
      </w:r>
      <w:r>
        <w:rPr>
          <w:rFonts w:ascii="仿宋_GB2312" w:hAnsi="仿宋_GB2312" w:eastAsia="仿宋_GB2312" w:cs="仿宋_GB2312"/>
          <w:sz w:val="32"/>
          <w:szCs w:val="32"/>
          <w:highlight w:val="none"/>
        </w:rPr>
        <w:t>使用的资金，或项目已完成等产生的结余资金。</w:t>
      </w:r>
    </w:p>
    <w:p>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七、“三公”经费：纳入同级财政预决算管理“三公”经费，指单位使用财政拨款安排的因公出国（境）费、公务用车购置及运行费和公务接待费。其中，因公出国（境）费反映单位公务出国（境）的国际旅费、国外城市间交通费、住宿费、伙食费、培训费、公杂费等支出；公务用车购置及运行费</w:t>
      </w:r>
      <w:r>
        <w:rPr>
          <w:rFonts w:hint="eastAsia" w:ascii="仿宋_GB2312" w:hAnsi="仿宋_GB2312" w:eastAsia="仿宋_GB2312" w:cs="仿宋_GB2312"/>
          <w:sz w:val="32"/>
          <w:szCs w:val="32"/>
          <w:highlight w:val="none"/>
          <w:lang w:eastAsia="zh-CN"/>
        </w:rPr>
        <w:t>反映</w:t>
      </w:r>
      <w:r>
        <w:rPr>
          <w:rFonts w:hint="eastAsia" w:ascii="仿宋_GB2312" w:hAnsi="仿宋_GB2312" w:eastAsia="仿宋_GB2312" w:cs="仿宋_GB2312"/>
          <w:sz w:val="32"/>
          <w:szCs w:val="32"/>
          <w:highlight w:val="none"/>
        </w:rPr>
        <w:t>单位公务用车车辆购置支出（含车辆购置税）及租用费、燃料费、维修费、过路过桥费、保险费、安全奖励费用等支出；公务接待费反映单位按规定开支的各类公务接待（含外宾接待）支出。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highlight w:val="none"/>
        </w:rPr>
      </w:pPr>
    </w:p>
    <w:p/>
    <w:sectPr>
      <w:footerReference r:id="rId5" w:type="default"/>
      <w:pgSz w:w="11906" w:h="16838"/>
      <w:pgMar w:top="1928" w:right="1474"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长城小标宋体">
    <w:altName w:val="方正小标宋_GBK"/>
    <w:panose1 w:val="02010609010101010101"/>
    <w:charset w:val="00"/>
    <w:family w:val="auto"/>
    <w:pitch w:val="default"/>
    <w:sig w:usb0="00000000" w:usb1="00000000" w:usb2="00000000" w:usb3="00000000" w:csb0="00040001" w:csb1="00000000"/>
  </w:font>
  <w:font w:name="方正小标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仿宋">
    <w:altName w:val="方正仿宋_GBK"/>
    <w:panose1 w:val="02010609060101010101"/>
    <w:charset w:val="00"/>
    <w:family w:val="modern"/>
    <w:pitch w:val="default"/>
    <w:sig w:usb0="00000000" w:usb1="00000000" w:usb2="00000016" w:usb3="00000000" w:csb0="00040001" w:csb1="00000000"/>
  </w:font>
  <w:font w:name="楷体_GB2312">
    <w:altName w:val="方正楷体_GBK"/>
    <w:panose1 w:val="02010609030101010101"/>
    <w:charset w:val="00"/>
    <w:family w:val="modern"/>
    <w:pitch w:val="default"/>
    <w:sig w:usb0="00000000" w:usb1="00000000" w:usb2="00000000" w:usb3="00000000" w:csb0="00040000" w:csb1="00000000"/>
  </w:font>
  <w:font w:name="仿宋_GB2312">
    <w:altName w:val="方正仿宋_GBK"/>
    <w:panose1 w:val="02010609030101010101"/>
    <w:charset w:val="00"/>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4Oo3+0AQAAUgMAAA4AAABkcnMv&#10;ZTJvRG9jLnhtbK1TzW4TMRC+I/EOlu/Em1R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rg6jf7QBAABSAwAADgAAAAAAAAABACAAAAA0AQAAZHJzL2Uyb0Rv&#10;Yy54bWxQSwUGAAAAAAYABgBZAQAAWg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rPr>
                              <w:rFonts w:hint="eastAsia"/>
                              <w:lang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GFFqO20AQAAUgMAAA4AAABkcnMv&#10;ZTJvRG9jLnhtbK1TzW4TMRC+I/EOlu/Em6h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YUWo7bQBAABSAwAADgAAAAAAAAABACAAAAA0AQAAZHJzL2Uyb0Rv&#10;Yy54bWxQSwUGAAAAAAYABgBZAQAAWgUAAAAA&#10;">
              <v:fill on="f" focussize="0,0"/>
              <v:stroke on="f"/>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OHYJi0AQAAUgMAAA4AAABkcnMv&#10;ZTJvRG9jLnhtbK1TzW4TMRC+I/EOlu/Em0hF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44dgmLQBAABSAwAADgAAAAAAAAABACAAAAA0AQAAZHJzL2Uyb0Rv&#10;Yy54bWxQSwUGAAAAAAYABgBZAQAAWg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rPr>
                              <w:rFonts w:hint="eastAsia"/>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v:fill on="f" focussize="0,0"/>
              <v:stroke on="f"/>
              <v:imagedata o:title=""/>
              <o:lock v:ext="edit" aspectratio="f"/>
              <v:textbox inset="0mm,0mm,0mm,0mm" style="mso-fit-shape-to-text:t;">
                <w:txbxContent>
                  <w:p>
                    <w:pPr>
                      <w:rPr>
                        <w:rFonts w:hint="eastAsi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3OWQ0OWViYTAwNWIyOGJhMWVmNDZkYmViZmZjZGIifQ=="/>
  </w:docVars>
  <w:rsids>
    <w:rsidRoot w:val="0E1422A4"/>
    <w:rsid w:val="03E316FD"/>
    <w:rsid w:val="0D09498F"/>
    <w:rsid w:val="0E1422A4"/>
    <w:rsid w:val="0ED62150"/>
    <w:rsid w:val="112453F4"/>
    <w:rsid w:val="27707112"/>
    <w:rsid w:val="2AD96B0F"/>
    <w:rsid w:val="314978EC"/>
    <w:rsid w:val="3AFFD1D7"/>
    <w:rsid w:val="44B20FFA"/>
    <w:rsid w:val="4CDF7236"/>
    <w:rsid w:val="5E627981"/>
    <w:rsid w:val="67D00995"/>
    <w:rsid w:val="6B581098"/>
    <w:rsid w:val="758E76D2"/>
    <w:rsid w:val="BF3E7434"/>
    <w:rsid w:val="CAE6E160"/>
    <w:rsid w:val="FBBB881F"/>
    <w:rsid w:val="FBFE4D9D"/>
    <w:rsid w:val="FC74B025"/>
    <w:rsid w:val="FF2AE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MessageHeader"/>
    <w:basedOn w:val="1"/>
    <w:next w:val="3"/>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3">
    <w:name w:val="BodyText"/>
    <w:basedOn w:val="1"/>
    <w:qFormat/>
    <w:uiPriority w:val="99"/>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 w:type="character" w:customStyle="1" w:styleId="7">
    <w:name w:val="font11"/>
    <w:basedOn w:val="6"/>
    <w:qFormat/>
    <w:uiPriority w:val="0"/>
    <w:rPr>
      <w:rFonts w:hint="eastAsia" w:ascii="宋体" w:hAnsi="宋体" w:eastAsia="宋体" w:cs="宋体"/>
      <w:color w:val="000000"/>
      <w:sz w:val="20"/>
      <w:szCs w:val="20"/>
      <w:u w:val="none"/>
    </w:rPr>
  </w:style>
  <w:style w:type="character" w:customStyle="1" w:styleId="8">
    <w:name w:val="font01"/>
    <w:basedOn w:val="6"/>
    <w:qFormat/>
    <w:uiPriority w:val="0"/>
    <w:rPr>
      <w:rFonts w:hint="eastAsia" w:ascii="宋体" w:hAnsi="宋体" w:eastAsia="宋体" w:cs="宋体"/>
      <w:color w:val="000000"/>
      <w:sz w:val="22"/>
      <w:szCs w:val="22"/>
      <w:u w:val="none"/>
    </w:rPr>
  </w:style>
  <w:style w:type="character" w:customStyle="1" w:styleId="9">
    <w:name w:val="font51"/>
    <w:basedOn w:val="6"/>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6628</Words>
  <Characters>7102</Characters>
  <Lines>0</Lines>
  <Paragraphs>0</Paragraphs>
  <TotalTime>5</TotalTime>
  <ScaleCrop>false</ScaleCrop>
  <LinksUpToDate>false</LinksUpToDate>
  <CharactersWithSpaces>7447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2024-09-10T08:25:00Z</dcterms:created>
  <dc:creator>罗健</dc:creator>
  <cp:lastModifiedBy>hw</cp:lastModifiedBy>
  <cp:lastPrinted>2024-09-27T09:16:31Z</cp:lastPrinted>
  <dcterms:modified xsi:type="dcterms:W3CDTF">2024-09-27T09:17:41Z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BE985FC255A84986B9CCFEED8F5A733B_11</vt:lpwstr>
  </property>
</Properties>
</file>